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8FF" w:rsidRPr="0065523D" w:rsidRDefault="008A48FF" w:rsidP="00072056">
      <w:pPr>
        <w:spacing w:line="240" w:lineRule="auto"/>
        <w:ind w:left="708" w:firstLine="708"/>
        <w:rPr>
          <w:sz w:val="32"/>
          <w:szCs w:val="32"/>
        </w:rPr>
      </w:pPr>
      <w:r>
        <w:rPr>
          <w:sz w:val="32"/>
          <w:szCs w:val="32"/>
        </w:rPr>
        <w:t>Plattelandsonderneming in Land van de Hilver</w:t>
      </w:r>
    </w:p>
    <w:p w:rsidR="008A48FF" w:rsidRDefault="008A48FF" w:rsidP="00072056">
      <w:pPr>
        <w:spacing w:after="0" w:line="240" w:lineRule="auto"/>
        <w:ind w:left="708"/>
        <w:rPr>
          <w:b/>
        </w:rPr>
      </w:pPr>
      <w:r>
        <w:rPr>
          <w:i/>
          <w:iCs/>
          <w:sz w:val="24"/>
          <w:szCs w:val="24"/>
        </w:rPr>
        <w:t xml:space="preserve">“ </w:t>
      </w:r>
      <w:r w:rsidRPr="0073048B">
        <w:rPr>
          <w:i/>
          <w:iCs/>
          <w:sz w:val="24"/>
          <w:szCs w:val="24"/>
        </w:rPr>
        <w:t>Een bedrijf dat al dan niet gedeeltelijk als agrarisch bedrijf, producten of diensten aanbiedt die bijdragen aan de instandhouding en beleving van gronden of gebouwen en daarmee in ieder geval aan de gebiedskwaliteit, waarmee deze producten en diensten verduurzamend ruimtelijk of functioneel verbonden zijn</w:t>
      </w:r>
      <w:r>
        <w:rPr>
          <w:i/>
          <w:iCs/>
          <w:sz w:val="24"/>
          <w:szCs w:val="24"/>
        </w:rPr>
        <w:t>. “</w:t>
      </w:r>
    </w:p>
    <w:p w:rsidR="008A48FF" w:rsidRDefault="008A48FF" w:rsidP="004F3F46">
      <w:pPr>
        <w:spacing w:after="0" w:line="240" w:lineRule="auto"/>
        <w:rPr>
          <w:b/>
        </w:rPr>
      </w:pPr>
    </w:p>
    <w:p w:rsidR="008A48FF" w:rsidRDefault="008A48FF" w:rsidP="004F3F46">
      <w:pPr>
        <w:spacing w:after="0" w:line="240" w:lineRule="auto"/>
        <w:rPr>
          <w:b/>
        </w:rPr>
      </w:pPr>
      <w:r>
        <w:rPr>
          <w:b/>
        </w:rPr>
        <w:t>Aanleiding</w:t>
      </w:r>
    </w:p>
    <w:p w:rsidR="008A48FF" w:rsidRDefault="008A48FF" w:rsidP="004F3F46">
      <w:pPr>
        <w:spacing w:after="0" w:line="240" w:lineRule="auto"/>
      </w:pPr>
      <w:r>
        <w:t xml:space="preserve">De gemeente Hilvarenbeek is een typische agrarische Brabantse plattelandsgemeente. De agrarische sector staat net als bij veel andere gemeenten onder druk; naar schatting zullen 150 van de 350 agrarische locaties in het buitengebied op termijn hun agrarische functie verliezen. Voor veel andere gemeenten zal dit beeld herkenbaar zijn. Al deze locaties verliezen de economische basis voor instandhouding en andere functies zijn noodzakelijk om verloedering te voorkomen. Tegelijkertijd signaleert men in Hilvarenbeek een trend van een toenemend aantal particulieren in het buitengebied dat bij de woning wil gaan ondernemen. Denk hierbij bijvoorbeeld aan bed &amp; breakfast, beeldentuin of zorgbegeleiding in de natuur. Het beleid van de provincie Noord-Brabant biedt mogelijkheden voor niet-agrarische functies in het buitengebied, maar laat de precieze invulling aan de gemeenten. </w:t>
      </w:r>
    </w:p>
    <w:p w:rsidR="008A48FF" w:rsidRDefault="008A48FF" w:rsidP="004F3F46">
      <w:pPr>
        <w:spacing w:after="0" w:line="240" w:lineRule="auto"/>
      </w:pPr>
    </w:p>
    <w:p w:rsidR="008A48FF" w:rsidRDefault="008A48FF" w:rsidP="004F3F46">
      <w:pPr>
        <w:spacing w:after="0" w:line="240" w:lineRule="auto"/>
        <w:rPr>
          <w:b/>
        </w:rPr>
      </w:pPr>
      <w:r>
        <w:rPr>
          <w:b/>
        </w:rPr>
        <w:t>Probleem</w:t>
      </w:r>
    </w:p>
    <w:p w:rsidR="008A48FF" w:rsidRDefault="008A48FF" w:rsidP="004F3F46">
      <w:pPr>
        <w:spacing w:after="0" w:line="240" w:lineRule="auto"/>
      </w:pPr>
      <w:r>
        <w:t>Het Land van de Hilver</w:t>
      </w:r>
      <w:r>
        <w:rPr>
          <w:rStyle w:val="Voetnootmarkering"/>
        </w:rPr>
        <w:footnoteReference w:id="1"/>
      </w:r>
      <w:r>
        <w:t xml:space="preserve"> constateert in de praktijk dat ondernemer en gemeente bij die invulling en de uitwerking in vergunningverlening tegen procesmatige, beleidsmatige en juridische belemmeringen aan lopen. De economische ontwikkeling en de ruimtelijke kwaliteit van het buitengebied lijden onder langdurige procedures en het onvoldoende tot ontwikkeling komen van nieuwe functies. Met de Pilot Plattelandsondernemingen</w:t>
      </w:r>
      <w:r>
        <w:rPr>
          <w:rStyle w:val="Voetnootmarkering"/>
        </w:rPr>
        <w:footnoteReference w:id="2"/>
      </w:r>
      <w:r>
        <w:t xml:space="preserve"> heeft Land van de Hilver aan de hand van drie cases het proces onderzocht en komt zij tot aanbevelingen voor verbetering. </w:t>
      </w:r>
    </w:p>
    <w:p w:rsidR="008A48FF" w:rsidRDefault="008A48FF" w:rsidP="004F3F46">
      <w:pPr>
        <w:spacing w:after="0" w:line="240" w:lineRule="auto"/>
      </w:pPr>
    </w:p>
    <w:p w:rsidR="008A48FF" w:rsidRPr="006C03A6" w:rsidRDefault="008A48FF" w:rsidP="004F3F46">
      <w:pPr>
        <w:spacing w:after="0" w:line="240" w:lineRule="auto"/>
        <w:rPr>
          <w:b/>
        </w:rPr>
      </w:pPr>
      <w:r>
        <w:rPr>
          <w:b/>
        </w:rPr>
        <w:t>Beleid</w:t>
      </w:r>
    </w:p>
    <w:p w:rsidR="008A48FF" w:rsidRDefault="008A48FF" w:rsidP="004F3F46">
      <w:pPr>
        <w:spacing w:after="0" w:line="240" w:lineRule="auto"/>
      </w:pPr>
      <w:r>
        <w:t xml:space="preserve">De provincie Noord-Brabant biedt in de Verordening Ruimte rigide, maar wel ruimte gevende kaders die door gemeenten nader ingevuld kunnen worden. In ‘De transitie van Stad en Platteland, een nieuwe koers’ (het zogenaamde koersdocument) spreekt de provincie zelfs de ambitie uit door het opnieuw definiëren van waarden en principes voor het Brabantse landelijk gebied, meer ruimte te willen geven aan de creativiteit van ondernemers en burgers als er een goede verbinding tussen people, planet en profit tot stand komt, en hiervoor ruimte te willen creëren in regelgeving. Een ontwikkelingsgerichte denkwijze waarvan de invulling op het bordje van de gemeenten ligt. </w:t>
      </w:r>
    </w:p>
    <w:p w:rsidR="008A48FF" w:rsidRDefault="008A48FF" w:rsidP="004F3F46">
      <w:pPr>
        <w:spacing w:after="0" w:line="240" w:lineRule="auto"/>
      </w:pPr>
      <w:r>
        <w:t xml:space="preserve">Er wordt al jaren gesproken over concepten zoals ‘ontwikkelingsplanologie’ en ‘oriënterende bestemmingsplannen’, maar hoe doe je dat nu in de praktijk? De gemeente Hilvarenbeek werkte ten tijde van het onderzoek aan een nieuw bestemmingsplan buitengebied, maar constateerde ten eerste dat het instrument door zijn intrinsiek conserverende aard niet goed is toegesneden op de materie en ten tweede dat er veel wantrouwen is tussen ondernemers enerzijds  en ambtenaren, college en raad anderzijds. </w:t>
      </w:r>
    </w:p>
    <w:p w:rsidR="008A48FF" w:rsidRDefault="008A48FF" w:rsidP="004F3F46">
      <w:pPr>
        <w:spacing w:after="0" w:line="240" w:lineRule="auto"/>
      </w:pPr>
    </w:p>
    <w:p w:rsidR="008A48FF" w:rsidRDefault="008A48FF" w:rsidP="004F3F46">
      <w:pPr>
        <w:spacing w:after="0" w:line="240" w:lineRule="auto"/>
      </w:pPr>
      <w:r>
        <w:rPr>
          <w:b/>
        </w:rPr>
        <w:t>Onderzoeksmodel</w:t>
      </w:r>
    </w:p>
    <w:p w:rsidR="008A48FF" w:rsidRDefault="008A48FF" w:rsidP="004F3F46">
      <w:pPr>
        <w:spacing w:after="0" w:line="240" w:lineRule="auto"/>
      </w:pPr>
      <w:r>
        <w:t xml:space="preserve">Basis voor het onderzoek is een case study. Enkele initiatiefnemers hebben zich aan kunnen melden en zijn vervolgens gedurende een jaar in hun procedure begeleid en gevolgd. De ervaringen die dit heeft opgeleverd zijn vervolgens in beeld gebracht en gewaardeerd aan de hand van het Verduurzamingsmodel. </w:t>
      </w:r>
      <w:r w:rsidRPr="00920410">
        <w:rPr>
          <w:noProof/>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 o:spid="_x0000_i1025" type="#_x0000_t75" style="width:452.25pt;height:244.5pt;visibility:visible">
            <v:imagedata r:id="rId7" o:title=""/>
          </v:shape>
        </w:pict>
      </w:r>
    </w:p>
    <w:p w:rsidR="008A48FF" w:rsidRDefault="008A48FF" w:rsidP="004F3F46">
      <w:pPr>
        <w:spacing w:after="0" w:line="240" w:lineRule="auto"/>
      </w:pPr>
    </w:p>
    <w:p w:rsidR="008A48FF" w:rsidRPr="00014415" w:rsidRDefault="008A48FF" w:rsidP="004F3F46">
      <w:pPr>
        <w:pStyle w:val="Default"/>
        <w:rPr>
          <w:rFonts w:ascii="Calibri" w:hAnsi="Calibri" w:cs="Times New Roman"/>
          <w:color w:val="auto"/>
          <w:sz w:val="22"/>
          <w:szCs w:val="22"/>
        </w:rPr>
      </w:pPr>
      <w:r w:rsidRPr="00014415">
        <w:rPr>
          <w:rFonts w:ascii="Calibri" w:hAnsi="Calibri" w:cs="Times New Roman"/>
          <w:color w:val="auto"/>
          <w:sz w:val="22"/>
          <w:szCs w:val="22"/>
        </w:rPr>
        <w:t xml:space="preserve">Het Verduurzamingsmodel onderscheidt een zestal beleidsdimensies. Met deze dimensies kunnen de positieve en negatieve kanten van een project gewogen worden, kunnen partijen actief op de 6 velden betrokken worden bij de planvorming, kan in beeld gebracht worden op welke dimensie zich belemmeringen bevinden om vervolgens aan de hand van de beleidsmatige en/of juridische basis hiervan naar de onderliggende processen te kijken. </w:t>
      </w:r>
    </w:p>
    <w:p w:rsidR="008A48FF" w:rsidRDefault="008A48FF" w:rsidP="004F3F46">
      <w:pPr>
        <w:spacing w:after="0" w:line="240" w:lineRule="auto"/>
      </w:pPr>
    </w:p>
    <w:p w:rsidR="008A48FF" w:rsidRPr="003D3622" w:rsidRDefault="008A48FF" w:rsidP="004F3F46">
      <w:pPr>
        <w:spacing w:after="0" w:line="240" w:lineRule="auto"/>
        <w:rPr>
          <w:b/>
        </w:rPr>
      </w:pPr>
      <w:r>
        <w:rPr>
          <w:b/>
        </w:rPr>
        <w:t>Ervaringen uit de cases</w:t>
      </w:r>
    </w:p>
    <w:p w:rsidR="008A48FF" w:rsidRDefault="008A48FF" w:rsidP="004F3F46">
      <w:pPr>
        <w:spacing w:after="0" w:line="240" w:lineRule="auto"/>
      </w:pPr>
    </w:p>
    <w:p w:rsidR="008A48FF" w:rsidRPr="00014415" w:rsidRDefault="008A48FF" w:rsidP="004F3F46">
      <w:pPr>
        <w:pStyle w:val="Default"/>
        <w:rPr>
          <w:rFonts w:ascii="Calibri" w:hAnsi="Calibri" w:cs="Times New Roman"/>
          <w:i/>
          <w:color w:val="auto"/>
          <w:sz w:val="22"/>
          <w:szCs w:val="22"/>
        </w:rPr>
      </w:pPr>
      <w:r w:rsidRPr="00014415">
        <w:rPr>
          <w:rFonts w:ascii="Calibri" w:hAnsi="Calibri" w:cs="Times New Roman"/>
          <w:i/>
          <w:color w:val="auto"/>
          <w:sz w:val="22"/>
          <w:szCs w:val="22"/>
        </w:rPr>
        <w:t>De Kievit</w:t>
      </w:r>
    </w:p>
    <w:p w:rsidR="008A48FF" w:rsidRPr="00014415" w:rsidRDefault="008A48FF" w:rsidP="004F3F46">
      <w:pPr>
        <w:pStyle w:val="Default"/>
        <w:rPr>
          <w:rFonts w:ascii="Calibri" w:hAnsi="Calibri" w:cs="Times New Roman"/>
          <w:color w:val="auto"/>
          <w:sz w:val="22"/>
          <w:szCs w:val="22"/>
        </w:rPr>
      </w:pPr>
      <w:r w:rsidRPr="00014415">
        <w:rPr>
          <w:rFonts w:ascii="Calibri" w:hAnsi="Calibri" w:cs="Times New Roman"/>
          <w:color w:val="auto"/>
          <w:sz w:val="22"/>
          <w:szCs w:val="22"/>
        </w:rPr>
        <w:t xml:space="preserve">Al drie generaties lang runt de familie Gerritsen op “De Kievit” een veehouderijbedrijf. Naast dit bedrijf heeft De Kievit een groepsaccommodatie voor groepen van 20 tot 130 personen. Deze accommodatie, op basis van zelfverzorging, is het hele jaar geopend. Er zijn sanitaire voorzieningen, open haard en bar, speelveld met mogelijkheid tot voet-korf- en volleybal. Het is gelegen in bosrijke omgeving nabij de Belgische grens. De veeteeltactiviteit betreft rosé kalveren, 400-500 stuks. De Kievit heeft verder een akkerbouwtak van </w:t>
      </w:r>
      <w:smartTag w:uri="urn:schemas-microsoft-com:office:smarttags" w:element="metricconverter">
        <w:smartTagPr>
          <w:attr w:name="ProductID" w:val="60 ha"/>
        </w:smartTagPr>
        <w:r w:rsidRPr="00014415">
          <w:rPr>
            <w:rFonts w:ascii="Calibri" w:hAnsi="Calibri" w:cs="Times New Roman"/>
            <w:color w:val="auto"/>
            <w:sz w:val="22"/>
            <w:szCs w:val="22"/>
          </w:rPr>
          <w:t>60 ha</w:t>
        </w:r>
      </w:smartTag>
      <w:r w:rsidRPr="00014415">
        <w:rPr>
          <w:rFonts w:ascii="Calibri" w:hAnsi="Calibri" w:cs="Times New Roman"/>
          <w:color w:val="auto"/>
          <w:sz w:val="22"/>
          <w:szCs w:val="22"/>
        </w:rPr>
        <w:t xml:space="preserve">. Die in dienst staat van de kalveren. </w:t>
      </w:r>
    </w:p>
    <w:p w:rsidR="008A48FF" w:rsidRPr="00014415" w:rsidRDefault="008A48FF" w:rsidP="004F3F46">
      <w:pPr>
        <w:pStyle w:val="Default"/>
        <w:rPr>
          <w:rFonts w:ascii="Calibri" w:hAnsi="Calibri" w:cs="Times New Roman"/>
          <w:color w:val="auto"/>
          <w:sz w:val="22"/>
          <w:szCs w:val="22"/>
        </w:rPr>
      </w:pPr>
      <w:r w:rsidRPr="00014415">
        <w:rPr>
          <w:rFonts w:ascii="Calibri" w:hAnsi="Calibri" w:cs="Times New Roman"/>
          <w:color w:val="auto"/>
          <w:sz w:val="22"/>
          <w:szCs w:val="22"/>
        </w:rPr>
        <w:t>Uitbreiding van de veeteelt is beleidsmatig niet mogelijk. Ten behoeve van recreatie en veiligheid wil de Kievit een blusvijver aanleggen, inclusief enkele gebouwen.</w:t>
      </w:r>
    </w:p>
    <w:p w:rsidR="008A48FF" w:rsidRPr="00014415" w:rsidRDefault="008A48FF" w:rsidP="004F3F46">
      <w:pPr>
        <w:pStyle w:val="Default"/>
        <w:rPr>
          <w:rFonts w:ascii="Calibri" w:hAnsi="Calibri" w:cs="Times New Roman"/>
          <w:color w:val="auto"/>
          <w:sz w:val="22"/>
          <w:szCs w:val="22"/>
        </w:rPr>
      </w:pPr>
      <w:r w:rsidRPr="00014415">
        <w:rPr>
          <w:rFonts w:ascii="Calibri" w:hAnsi="Calibri" w:cs="Times New Roman"/>
          <w:color w:val="auto"/>
          <w:sz w:val="22"/>
          <w:szCs w:val="22"/>
        </w:rPr>
        <w:t xml:space="preserve">Knelpunten: vormverandering van het bouwblok en een ontgrondingsvergunning. </w:t>
      </w:r>
    </w:p>
    <w:p w:rsidR="008A48FF" w:rsidRPr="00014415" w:rsidRDefault="008A48FF" w:rsidP="004F3F46">
      <w:pPr>
        <w:pStyle w:val="Default"/>
        <w:rPr>
          <w:rFonts w:ascii="Calibri" w:hAnsi="Calibri" w:cs="Times New Roman"/>
          <w:i/>
          <w:color w:val="auto"/>
          <w:sz w:val="22"/>
          <w:szCs w:val="22"/>
        </w:rPr>
      </w:pPr>
      <w:r w:rsidRPr="00014415">
        <w:rPr>
          <w:rFonts w:ascii="Calibri" w:hAnsi="Calibri" w:cs="Times New Roman"/>
          <w:i/>
          <w:color w:val="auto"/>
          <w:sz w:val="22"/>
          <w:szCs w:val="22"/>
        </w:rPr>
        <w:t>Den Elshorst</w:t>
      </w:r>
    </w:p>
    <w:p w:rsidR="008A48FF" w:rsidRPr="00014415" w:rsidRDefault="008A48FF" w:rsidP="004F3F46">
      <w:pPr>
        <w:pStyle w:val="Default"/>
        <w:rPr>
          <w:rFonts w:ascii="Calibri" w:hAnsi="Calibri" w:cs="Times New Roman"/>
          <w:color w:val="auto"/>
          <w:sz w:val="22"/>
          <w:szCs w:val="22"/>
        </w:rPr>
      </w:pPr>
      <w:r w:rsidRPr="00014415">
        <w:rPr>
          <w:rFonts w:ascii="Calibri" w:hAnsi="Calibri" w:cs="Times New Roman"/>
          <w:color w:val="auto"/>
          <w:sz w:val="22"/>
          <w:szCs w:val="22"/>
        </w:rPr>
        <w:t xml:space="preserve">Den Elshorst is eind jaren vijftig gebouwd als kop- hals- rompboerderij. In 1989 is de voormalige koeienstal omgebouwd tot groepsaccommodatie. Het bedrijf is verder uitgegroeid en biedt gasten allerlei vormen van dag- en verblijfsrecreatie. Er worden varkens gehouden waarvan het vlees ter plaatse wordt verkocht. Den Elshorst wil een transitie naar scharrelvarkens in de open lucht. Daarvoor zijn schuilvoorzieningen nodig: plaggenhutten. Deze zijn ook voor het publiek aantrekkelijk; men wil daartoe picknickplaatsen creëren en landschapselementen aanbrengen. De plaggenhutten zijn voor een deel tijdelijk: om wormbesmetting te voorkomen, moet de populatie elke paar jaar verhuizen. Op het hoofdperceel moeten ca. tien permanente plaggenhutten komen, waartussen de varkens migreren. Naast de plaggenhutten wil Den Elshorst een multifunctionele accommodatie om de “overloop” van groepen soepeler te laten verlopen en voor beperkt nachtverblijf. </w:t>
      </w:r>
    </w:p>
    <w:p w:rsidR="008A48FF" w:rsidRPr="00014415" w:rsidRDefault="008A48FF" w:rsidP="004F3F46">
      <w:pPr>
        <w:pStyle w:val="Default"/>
        <w:rPr>
          <w:rFonts w:ascii="Calibri" w:hAnsi="Calibri" w:cs="Times New Roman"/>
          <w:color w:val="auto"/>
          <w:sz w:val="22"/>
          <w:szCs w:val="22"/>
        </w:rPr>
      </w:pPr>
      <w:r w:rsidRPr="00014415">
        <w:rPr>
          <w:rFonts w:ascii="Calibri" w:hAnsi="Calibri" w:cs="Times New Roman"/>
          <w:color w:val="auto"/>
          <w:sz w:val="22"/>
          <w:szCs w:val="22"/>
        </w:rPr>
        <w:t xml:space="preserve">Knelpunten: plaggenhutten passen niet in de standaard systematiek van het bestemmingsplan. </w:t>
      </w:r>
    </w:p>
    <w:p w:rsidR="008A48FF" w:rsidRPr="00014415" w:rsidRDefault="008A48FF" w:rsidP="004F3F46">
      <w:pPr>
        <w:pStyle w:val="Default"/>
        <w:rPr>
          <w:rFonts w:ascii="Calibri" w:hAnsi="Calibri" w:cs="Times New Roman"/>
          <w:color w:val="auto"/>
          <w:sz w:val="22"/>
          <w:szCs w:val="22"/>
        </w:rPr>
      </w:pPr>
    </w:p>
    <w:p w:rsidR="008A48FF" w:rsidRPr="00014415" w:rsidRDefault="008A48FF" w:rsidP="004F3F46">
      <w:pPr>
        <w:pStyle w:val="Default"/>
        <w:rPr>
          <w:rFonts w:ascii="Calibri" w:hAnsi="Calibri" w:cs="Times New Roman"/>
          <w:i/>
          <w:color w:val="auto"/>
          <w:sz w:val="22"/>
          <w:szCs w:val="22"/>
        </w:rPr>
      </w:pPr>
      <w:r w:rsidRPr="00014415">
        <w:rPr>
          <w:rFonts w:ascii="Calibri" w:hAnsi="Calibri" w:cs="Times New Roman"/>
          <w:i/>
          <w:color w:val="auto"/>
          <w:sz w:val="22"/>
          <w:szCs w:val="22"/>
        </w:rPr>
        <w:t>‘t Schop</w:t>
      </w:r>
    </w:p>
    <w:p w:rsidR="008A48FF" w:rsidRPr="00014415" w:rsidRDefault="008A48FF" w:rsidP="004F3F46">
      <w:pPr>
        <w:pStyle w:val="Default"/>
        <w:rPr>
          <w:rFonts w:ascii="Calibri" w:hAnsi="Calibri" w:cs="Times New Roman"/>
          <w:color w:val="auto"/>
          <w:sz w:val="22"/>
          <w:szCs w:val="22"/>
        </w:rPr>
      </w:pPr>
      <w:r w:rsidRPr="00014415">
        <w:rPr>
          <w:rFonts w:ascii="Calibri" w:hAnsi="Calibri" w:cs="Times New Roman"/>
          <w:color w:val="auto"/>
          <w:sz w:val="22"/>
          <w:szCs w:val="22"/>
        </w:rPr>
        <w:t xml:space="preserve">De grootvader van de familie Van den Broek) stichtte boerderij ’t Schop bijna een eeuw geleden als, zoals te doen in de regio gebruikelijk, een gemengd bedrijf. ’t Schop is een boerderij, met koeien, schapen, een boomgaard en een flinke moestuin en heeft daarnaast een aantal voorzieningen. De paardenstal is omgetoverd tot boerderijkeuken en op de plaats van de hoogkar zijn biologische producten te koop. De authentiek verbouwde stal biedt ruimte voor vergaderingen met zelfbereide diners of lunches. ‘t Schop wil een, in de bedrijfsvoering geintegreerde zorgvoorziening ontwikkelen. Daarvoor is een kantine nodig. Ook wordt gedacht aan dagopvang van dementerende bejaarden en samenwerking met de Brede School.  Als locatie wordt gedacht aan de veldschuur voor het jong vee; daarvoor moet dan wel vervanging komen. </w:t>
      </w:r>
    </w:p>
    <w:p w:rsidR="008A48FF" w:rsidRPr="00014415" w:rsidRDefault="008A48FF" w:rsidP="004F3F46">
      <w:pPr>
        <w:pStyle w:val="Default"/>
        <w:rPr>
          <w:rFonts w:ascii="Calibri" w:hAnsi="Calibri" w:cs="Times New Roman"/>
          <w:color w:val="auto"/>
          <w:sz w:val="22"/>
          <w:szCs w:val="22"/>
        </w:rPr>
      </w:pPr>
      <w:r w:rsidRPr="00014415">
        <w:rPr>
          <w:rFonts w:ascii="Calibri" w:hAnsi="Calibri" w:cs="Times New Roman"/>
          <w:color w:val="auto"/>
          <w:sz w:val="22"/>
          <w:szCs w:val="22"/>
        </w:rPr>
        <w:t xml:space="preserve">Knelpunt: de plannen zijn nog onvoldoende uitgewerkt voor dialoog. </w:t>
      </w:r>
    </w:p>
    <w:p w:rsidR="008A48FF" w:rsidRPr="00014415" w:rsidRDefault="008A48FF" w:rsidP="004F3F46">
      <w:pPr>
        <w:pStyle w:val="Default"/>
        <w:rPr>
          <w:rFonts w:ascii="Calibri" w:hAnsi="Calibri" w:cs="Times New Roman"/>
          <w:color w:val="auto"/>
          <w:sz w:val="22"/>
          <w:szCs w:val="22"/>
        </w:rPr>
      </w:pPr>
    </w:p>
    <w:p w:rsidR="008A48FF" w:rsidRPr="00014415" w:rsidRDefault="008A48FF" w:rsidP="004F3F46">
      <w:pPr>
        <w:pStyle w:val="Default"/>
        <w:rPr>
          <w:rFonts w:ascii="Calibri" w:hAnsi="Calibri" w:cs="Times New Roman"/>
          <w:i/>
          <w:color w:val="auto"/>
          <w:sz w:val="22"/>
          <w:szCs w:val="22"/>
        </w:rPr>
      </w:pPr>
      <w:r w:rsidRPr="00014415">
        <w:rPr>
          <w:rFonts w:ascii="Calibri" w:hAnsi="Calibri" w:cs="Times New Roman"/>
          <w:i/>
          <w:color w:val="auto"/>
          <w:sz w:val="22"/>
          <w:szCs w:val="22"/>
        </w:rPr>
        <w:t>Analyse Cases</w:t>
      </w:r>
    </w:p>
    <w:p w:rsidR="008A48FF" w:rsidRPr="00014415" w:rsidRDefault="008A48FF" w:rsidP="004F3F46">
      <w:pPr>
        <w:pStyle w:val="Default"/>
        <w:rPr>
          <w:rFonts w:ascii="Calibri" w:hAnsi="Calibri" w:cs="Times New Roman"/>
          <w:color w:val="auto"/>
          <w:sz w:val="22"/>
          <w:szCs w:val="22"/>
        </w:rPr>
      </w:pPr>
      <w:r w:rsidRPr="00014415">
        <w:rPr>
          <w:rFonts w:ascii="Calibri" w:hAnsi="Calibri" w:cs="Times New Roman"/>
          <w:color w:val="auto"/>
          <w:sz w:val="22"/>
          <w:szCs w:val="22"/>
        </w:rPr>
        <w:t xml:space="preserve">De drie cases zijn op hun waarden geanalyseerd aan de hand van het Verduurzamingsmodel. </w:t>
      </w:r>
    </w:p>
    <w:p w:rsidR="008A48FF" w:rsidRPr="00014415" w:rsidRDefault="008A48FF" w:rsidP="004F3F46">
      <w:pPr>
        <w:pStyle w:val="Default"/>
        <w:rPr>
          <w:rFonts w:ascii="Calibri" w:hAnsi="Calibri" w:cs="Times New Roman"/>
          <w:color w:val="auto"/>
          <w:sz w:val="22"/>
          <w:szCs w:val="22"/>
        </w:rPr>
      </w:pPr>
    </w:p>
    <w:p w:rsidR="008A48FF" w:rsidRPr="00014415" w:rsidRDefault="008A48FF" w:rsidP="004F3F46">
      <w:pPr>
        <w:pStyle w:val="Default"/>
        <w:rPr>
          <w:rFonts w:ascii="Calibri" w:hAnsi="Calibri" w:cs="Times New Roman"/>
          <w:color w:val="auto"/>
          <w:sz w:val="22"/>
          <w:szCs w:val="22"/>
        </w:rPr>
      </w:pPr>
      <w:r w:rsidRPr="00014415">
        <w:rPr>
          <w:rFonts w:ascii="Calibri" w:hAnsi="Calibri" w:cs="Times New Roman"/>
          <w:noProof/>
          <w:color w:val="auto"/>
          <w:sz w:val="22"/>
          <w:szCs w:val="22"/>
          <w:lang w:eastAsia="nl-NL"/>
        </w:rPr>
        <w:pict>
          <v:shape id="Afbeelding 2" o:spid="_x0000_i1026" type="#_x0000_t75" style="width:449.25pt;height:128.25pt;visibility:visible">
            <v:imagedata r:id="rId8" o:title=""/>
          </v:shape>
        </w:pict>
      </w:r>
    </w:p>
    <w:p w:rsidR="008A48FF" w:rsidRPr="00014415" w:rsidRDefault="008A48FF" w:rsidP="004F3F46">
      <w:pPr>
        <w:pStyle w:val="Default"/>
        <w:rPr>
          <w:rFonts w:ascii="Calibri" w:hAnsi="Calibri" w:cs="Times New Roman"/>
          <w:color w:val="auto"/>
          <w:sz w:val="22"/>
          <w:szCs w:val="22"/>
        </w:rPr>
      </w:pPr>
    </w:p>
    <w:p w:rsidR="008A48FF" w:rsidRPr="000A0B85" w:rsidRDefault="008A48FF" w:rsidP="004F3F46">
      <w:pPr>
        <w:pStyle w:val="Default"/>
        <w:rPr>
          <w:rFonts w:ascii="Calibri" w:hAnsi="Calibri"/>
          <w:bCs/>
          <w:sz w:val="22"/>
          <w:szCs w:val="22"/>
        </w:rPr>
      </w:pPr>
      <w:r w:rsidRPr="000A0B85">
        <w:rPr>
          <w:rFonts w:ascii="Calibri" w:hAnsi="Calibri"/>
          <w:bCs/>
          <w:sz w:val="22"/>
          <w:szCs w:val="22"/>
        </w:rPr>
        <w:t xml:space="preserve">De waarde van de ontwikkeling bij de Kievit zit met name in het sterker maken van het bedrijf zelf, en daardoor haar ruimtelijke kwaliteit en haar omgeving. ’t Schop kent een sterkere sociaal maatschappelijke meerwaarde door de combinatie met zorgondernemen. De fysiek-ruimtelijke elementen zijn echter nog een vraagteken. Den Elshorst slaagt het best in het creëren van publiek beschikbare maatschappelijke meerwaarde. Bovenstaande tabel illustreert dat de cases maatschappelijk meerwaarde hebben, toch is het proces om tot realisatie te komen niet vanzelf gegaan. </w:t>
      </w:r>
    </w:p>
    <w:p w:rsidR="008A48FF" w:rsidRDefault="008A48FF" w:rsidP="004F3F46">
      <w:pPr>
        <w:pStyle w:val="Default"/>
        <w:rPr>
          <w:bCs/>
          <w:sz w:val="20"/>
          <w:szCs w:val="20"/>
        </w:rPr>
      </w:pPr>
    </w:p>
    <w:p w:rsidR="008A48FF" w:rsidRPr="00014415" w:rsidRDefault="008A48FF" w:rsidP="004F3F46">
      <w:pPr>
        <w:pStyle w:val="Default"/>
        <w:rPr>
          <w:rFonts w:ascii="Calibri" w:hAnsi="Calibri" w:cs="Times New Roman"/>
          <w:i/>
          <w:color w:val="auto"/>
          <w:sz w:val="22"/>
          <w:szCs w:val="22"/>
        </w:rPr>
      </w:pPr>
      <w:r w:rsidRPr="00014415">
        <w:rPr>
          <w:rFonts w:ascii="Calibri" w:hAnsi="Calibri" w:cs="Times New Roman"/>
          <w:i/>
          <w:color w:val="auto"/>
          <w:sz w:val="22"/>
          <w:szCs w:val="22"/>
        </w:rPr>
        <w:t>Procesverloop</w:t>
      </w:r>
    </w:p>
    <w:p w:rsidR="008A48FF" w:rsidRPr="00014415" w:rsidRDefault="008A48FF" w:rsidP="004F3F46">
      <w:pPr>
        <w:pStyle w:val="Default"/>
        <w:rPr>
          <w:rFonts w:ascii="Calibri" w:hAnsi="Calibri" w:cs="Times New Roman"/>
          <w:color w:val="auto"/>
          <w:sz w:val="22"/>
          <w:szCs w:val="22"/>
        </w:rPr>
      </w:pPr>
      <w:r w:rsidRPr="00014415">
        <w:rPr>
          <w:rFonts w:ascii="Calibri" w:hAnsi="Calibri" w:cs="Times New Roman"/>
          <w:color w:val="auto"/>
          <w:sz w:val="22"/>
          <w:szCs w:val="22"/>
        </w:rPr>
        <w:t xml:space="preserve">De processen die de drie pilots doorlopen hebben kunnen op hoofdlijnen als volgt gekenschetst worden. Bestuurlijk was sprake van een behoorlijk grote ontwikkelingsattitude. De ambtelijke procedures waren echter behoorlijk diffuus en in beginsel procedureel gericht. Tegelijkertijd hadden de initiatiefnemers plannen die niet meteen pasten en soms ook nog niet heel concreet uitgewerkt waren. Dit leidde tot slechte communicatie en stagnatie van het proces. De communicatie werd verder bemoeilijkt doordat het bestemmingsplaninstrumentarium onvoldoende toereikend was om op een praktische manier ruimte te bieden en voldoende grenzen te stellen. In het instrumentarium kon dus geen zekerheid gevonden worden, ondanks dat na enige tijd de maatschappelijke meerwaarden van de ontwikkelingen duidelijk waren. Tot slot kwamen er van buiten ingrepen op het proces door uitspraken van de Raad van State. </w:t>
      </w:r>
    </w:p>
    <w:p w:rsidR="008A48FF" w:rsidRPr="00014415" w:rsidRDefault="008A48FF" w:rsidP="004F3F46">
      <w:pPr>
        <w:pStyle w:val="Default"/>
        <w:rPr>
          <w:rFonts w:ascii="Calibri" w:hAnsi="Calibri" w:cs="Times New Roman"/>
          <w:color w:val="auto"/>
          <w:sz w:val="22"/>
          <w:szCs w:val="22"/>
        </w:rPr>
      </w:pPr>
    </w:p>
    <w:p w:rsidR="008A48FF" w:rsidRPr="005C39D1" w:rsidRDefault="008A48FF" w:rsidP="000A0B85">
      <w:pPr>
        <w:rPr>
          <w:b/>
        </w:rPr>
      </w:pPr>
      <w:r>
        <w:rPr>
          <w:b/>
        </w:rPr>
        <w:br w:type="page"/>
        <w:t>Conclusies en aanbevelingen</w:t>
      </w:r>
    </w:p>
    <w:p w:rsidR="008A48FF" w:rsidRPr="00014415" w:rsidRDefault="008A48FF" w:rsidP="004F3F46">
      <w:pPr>
        <w:pStyle w:val="Default"/>
        <w:rPr>
          <w:rFonts w:ascii="Calibri" w:hAnsi="Calibri" w:cs="Times New Roman"/>
          <w:color w:val="auto"/>
          <w:sz w:val="22"/>
          <w:szCs w:val="22"/>
        </w:rPr>
      </w:pPr>
    </w:p>
    <w:p w:rsidR="008A48FF" w:rsidRPr="00014415" w:rsidRDefault="008A48FF" w:rsidP="004F3F46">
      <w:pPr>
        <w:pStyle w:val="Default"/>
        <w:rPr>
          <w:rFonts w:ascii="Calibri" w:hAnsi="Calibri" w:cs="Times New Roman"/>
          <w:i/>
          <w:color w:val="auto"/>
          <w:sz w:val="22"/>
          <w:szCs w:val="22"/>
        </w:rPr>
      </w:pPr>
      <w:r w:rsidRPr="00014415">
        <w:rPr>
          <w:rFonts w:ascii="Calibri" w:hAnsi="Calibri" w:cs="Times New Roman"/>
          <w:i/>
          <w:color w:val="auto"/>
          <w:sz w:val="22"/>
          <w:szCs w:val="22"/>
        </w:rPr>
        <w:t>Stimuleren en ondersteunen</w:t>
      </w:r>
    </w:p>
    <w:p w:rsidR="008A48FF" w:rsidRPr="00014415" w:rsidRDefault="008A48FF" w:rsidP="004F3F46">
      <w:pPr>
        <w:pStyle w:val="Default"/>
        <w:rPr>
          <w:rFonts w:ascii="Calibri" w:hAnsi="Calibri" w:cs="Times New Roman"/>
          <w:color w:val="auto"/>
          <w:sz w:val="22"/>
          <w:szCs w:val="22"/>
        </w:rPr>
      </w:pPr>
      <w:r w:rsidRPr="00014415">
        <w:rPr>
          <w:rFonts w:ascii="Calibri" w:hAnsi="Calibri" w:cs="Times New Roman"/>
          <w:color w:val="auto"/>
          <w:sz w:val="22"/>
          <w:szCs w:val="22"/>
        </w:rPr>
        <w:t xml:space="preserve">In de praktijk is het voor veel spelers lastig om ontwikkelingsgericht te werken en te denken in de waarden die voor de andere partij van belang zijn. Het is voor ondernemers soms lastig om het rendement van hun investeringen ook meetbaar te maken in termen die buiten het directe bedrijfsbelang vallen. Natuurlijk worden veel bedrijven geïnspireerd door maatschappelijk verantwoord ondernemen. Dit alleen rechtvaardigt echter nog niet iedere ontwikkeling. Ondernemers zouden meer kunnen investeren in communicatie met de gemeente om hen concrete handvatten te bieden voor hun besluitvormingsproces. Goede plannen zijn daarvoor noodzakelijk. </w:t>
      </w:r>
    </w:p>
    <w:p w:rsidR="008A48FF" w:rsidRPr="00014415" w:rsidRDefault="008A48FF" w:rsidP="004F3F46">
      <w:pPr>
        <w:pStyle w:val="Default"/>
        <w:rPr>
          <w:rFonts w:ascii="Calibri" w:hAnsi="Calibri" w:cs="Times New Roman"/>
          <w:color w:val="auto"/>
          <w:sz w:val="22"/>
          <w:szCs w:val="22"/>
        </w:rPr>
      </w:pPr>
    </w:p>
    <w:p w:rsidR="008A48FF" w:rsidRPr="00014415" w:rsidRDefault="008A48FF" w:rsidP="004F3F46">
      <w:pPr>
        <w:pStyle w:val="Default"/>
        <w:rPr>
          <w:rFonts w:ascii="Calibri" w:hAnsi="Calibri" w:cs="Times New Roman"/>
          <w:color w:val="auto"/>
          <w:sz w:val="22"/>
          <w:szCs w:val="22"/>
        </w:rPr>
      </w:pPr>
      <w:r w:rsidRPr="00014415">
        <w:rPr>
          <w:rFonts w:ascii="Calibri" w:hAnsi="Calibri" w:cs="Times New Roman"/>
          <w:color w:val="auto"/>
          <w:sz w:val="22"/>
          <w:szCs w:val="22"/>
        </w:rPr>
        <w:t xml:space="preserve">Hetzelfde geldt voor bestuurders en ambtenaren. De orthodoxe interpretatie van de wet- en regelgeving op het gebied van de ruimtelijke ordening geeft veiligheid. Intussen wordt wel duidelijk dat een strenge hantering van het rode potlood het risico van leegstand en verloedering met zich meebrengt. </w:t>
      </w:r>
      <w:r w:rsidRPr="000A0B85">
        <w:rPr>
          <w:rFonts w:ascii="Calibri" w:hAnsi="Calibri"/>
          <w:sz w:val="22"/>
          <w:szCs w:val="22"/>
        </w:rPr>
        <w:t xml:space="preserve">Ontwikkelingsgericht denken vereist visie. De gemeente moet </w:t>
      </w:r>
      <w:r>
        <w:rPr>
          <w:rFonts w:ascii="Calibri" w:hAnsi="Calibri"/>
          <w:sz w:val="22"/>
          <w:szCs w:val="22"/>
        </w:rPr>
        <w:t xml:space="preserve">vanuit een </w:t>
      </w:r>
      <w:r w:rsidRPr="000A0B85">
        <w:rPr>
          <w:rFonts w:ascii="Calibri" w:hAnsi="Calibri"/>
          <w:i/>
          <w:iCs/>
          <w:sz w:val="22"/>
          <w:szCs w:val="22"/>
        </w:rPr>
        <w:t xml:space="preserve">gedragen </w:t>
      </w:r>
      <w:r w:rsidRPr="000A0B85">
        <w:rPr>
          <w:rFonts w:ascii="Calibri" w:hAnsi="Calibri"/>
          <w:sz w:val="22"/>
          <w:szCs w:val="22"/>
        </w:rPr>
        <w:t>v</w:t>
      </w:r>
      <w:r>
        <w:rPr>
          <w:rFonts w:ascii="Calibri" w:hAnsi="Calibri"/>
          <w:sz w:val="22"/>
          <w:szCs w:val="22"/>
        </w:rPr>
        <w:t>isie v</w:t>
      </w:r>
      <w:r w:rsidRPr="000A0B85">
        <w:rPr>
          <w:rFonts w:ascii="Calibri" w:hAnsi="Calibri"/>
          <w:sz w:val="22"/>
          <w:szCs w:val="22"/>
        </w:rPr>
        <w:t>aststelle</w:t>
      </w:r>
      <w:r>
        <w:rPr>
          <w:rFonts w:ascii="Calibri" w:hAnsi="Calibri"/>
          <w:sz w:val="22"/>
          <w:szCs w:val="22"/>
        </w:rPr>
        <w:t>n waar ze heen wil in plaats van</w:t>
      </w:r>
      <w:r w:rsidRPr="000A0B85">
        <w:rPr>
          <w:rFonts w:ascii="Calibri" w:hAnsi="Calibri"/>
          <w:sz w:val="22"/>
          <w:szCs w:val="22"/>
        </w:rPr>
        <w:t xml:space="preserve"> </w:t>
      </w:r>
      <w:r>
        <w:rPr>
          <w:rFonts w:ascii="Calibri" w:hAnsi="Calibri"/>
          <w:sz w:val="22"/>
          <w:szCs w:val="22"/>
        </w:rPr>
        <w:t xml:space="preserve">te formuleren wat </w:t>
      </w:r>
      <w:r w:rsidRPr="000A0B85">
        <w:rPr>
          <w:rFonts w:ascii="Calibri" w:hAnsi="Calibri"/>
          <w:sz w:val="22"/>
          <w:szCs w:val="22"/>
        </w:rPr>
        <w:t xml:space="preserve">allemaal niet kan. Dit is een basis om de ondernemingen in kwestie uit te nodigen </w:t>
      </w:r>
      <w:r>
        <w:rPr>
          <w:rFonts w:ascii="Calibri" w:hAnsi="Calibri"/>
          <w:sz w:val="22"/>
          <w:szCs w:val="22"/>
        </w:rPr>
        <w:t xml:space="preserve">samen </w:t>
      </w:r>
      <w:r w:rsidRPr="000A0B85">
        <w:rPr>
          <w:rFonts w:ascii="Calibri" w:hAnsi="Calibri"/>
          <w:sz w:val="22"/>
          <w:szCs w:val="22"/>
        </w:rPr>
        <w:t>voorstellen te formuleren</w:t>
      </w:r>
      <w:r>
        <w:rPr>
          <w:rFonts w:ascii="Calibri" w:hAnsi="Calibri"/>
          <w:sz w:val="22"/>
          <w:szCs w:val="22"/>
        </w:rPr>
        <w:t xml:space="preserve"> vanuit</w:t>
      </w:r>
      <w:r w:rsidRPr="000A0B85">
        <w:rPr>
          <w:rFonts w:ascii="Calibri" w:hAnsi="Calibri"/>
          <w:sz w:val="22"/>
          <w:szCs w:val="22"/>
        </w:rPr>
        <w:t xml:space="preserve"> actief, participatief </w:t>
      </w:r>
      <w:r>
        <w:rPr>
          <w:rFonts w:ascii="Calibri" w:hAnsi="Calibri"/>
          <w:sz w:val="22"/>
          <w:szCs w:val="22"/>
        </w:rPr>
        <w:t>é</w:t>
      </w:r>
      <w:r w:rsidRPr="000A0B85">
        <w:rPr>
          <w:rFonts w:ascii="Calibri" w:hAnsi="Calibri"/>
          <w:sz w:val="22"/>
          <w:szCs w:val="22"/>
        </w:rPr>
        <w:t xml:space="preserve">n maatschappelijk verantwoord ondernemerschap. Het Verduurzamingsmodel kan hierbij een hulpmiddel zijn. </w:t>
      </w:r>
    </w:p>
    <w:p w:rsidR="008A48FF" w:rsidRPr="00014415" w:rsidRDefault="008A48FF" w:rsidP="004F3F46">
      <w:pPr>
        <w:pStyle w:val="Default"/>
        <w:rPr>
          <w:rFonts w:ascii="Calibri" w:hAnsi="Calibri" w:cs="Times New Roman"/>
          <w:color w:val="auto"/>
          <w:sz w:val="22"/>
          <w:szCs w:val="22"/>
        </w:rPr>
      </w:pPr>
    </w:p>
    <w:p w:rsidR="008A48FF" w:rsidRPr="00014415" w:rsidRDefault="008A48FF" w:rsidP="004F3F46">
      <w:pPr>
        <w:pStyle w:val="Default"/>
        <w:rPr>
          <w:rFonts w:ascii="Calibri" w:hAnsi="Calibri" w:cs="Times New Roman"/>
          <w:color w:val="auto"/>
          <w:sz w:val="22"/>
          <w:szCs w:val="22"/>
        </w:rPr>
      </w:pPr>
      <w:r w:rsidRPr="00014415">
        <w:rPr>
          <w:rFonts w:ascii="Calibri" w:hAnsi="Calibri" w:cs="Times New Roman"/>
          <w:i/>
          <w:color w:val="auto"/>
          <w:sz w:val="22"/>
          <w:szCs w:val="22"/>
        </w:rPr>
        <w:t>Plattelandsonderneming in bestemmingsplan</w:t>
      </w:r>
    </w:p>
    <w:p w:rsidR="008A48FF" w:rsidRDefault="008A48FF" w:rsidP="006C388C">
      <w:pPr>
        <w:pStyle w:val="Tekstzonderopmaak"/>
      </w:pPr>
      <w:r w:rsidRPr="00014415">
        <w:rPr>
          <w:rFonts w:cs="Times New Roman"/>
          <w:szCs w:val="22"/>
        </w:rPr>
        <w:t xml:space="preserve">De cases leren dat het nieuwe type ondernemen in het buitengebied niet of slechts moeizaam past binnen de bestemmingsplansystematiek. Anders werken alleen is niet voldoende, het beschikbare instrumentarium moet ook geschikt zijn voor de gewenste ontwikkelingen. Aanbevolen wordt om de nieuwe categorie </w:t>
      </w:r>
      <w:r w:rsidRPr="00014415">
        <w:rPr>
          <w:rFonts w:cs="Times New Roman"/>
          <w:i/>
          <w:szCs w:val="22"/>
        </w:rPr>
        <w:t>Plattelandsonderneming</w:t>
      </w:r>
      <w:r w:rsidRPr="00014415">
        <w:rPr>
          <w:rFonts w:cs="Times New Roman"/>
          <w:szCs w:val="22"/>
        </w:rPr>
        <w:t xml:space="preserve"> in het bestemmingsplan op te nemen om deze ontwikkelingen te stimuleren en te reguleren. De gemeente kan hiermee ook anticiperen op</w:t>
      </w:r>
      <w:r w:rsidRPr="006C388C">
        <w:rPr>
          <w:szCs w:val="22"/>
        </w:rPr>
        <w:t xml:space="preserve"> </w:t>
      </w:r>
      <w:r>
        <w:rPr>
          <w:szCs w:val="22"/>
        </w:rPr>
        <w:t>de mogelijkheid</w:t>
      </w:r>
      <w:r>
        <w:t xml:space="preserve"> buiten het bestemmingsplan projecten te ontwikkelen. Op basis van een sterke gedragen visie (=structuurvisie WRO) kan met een projectafwijkingsbesluit worden meegewerkt, daar waar het bestemmingsplan niet past. Er lijkt een tendens te ontstaan dat deze werkwijze zal toenemen en dat wellicht op enig moment bestemmingsplannen verdwijnen en worden vervangen door een conserverende omgevingsverordening (cfm omgevingswet) waarbij ontwikkelingen moeten passen binnen de visie van de gemeente.</w:t>
      </w:r>
    </w:p>
    <w:p w:rsidR="008A48FF" w:rsidRPr="00014415" w:rsidRDefault="008A48FF" w:rsidP="004F3F46">
      <w:pPr>
        <w:pStyle w:val="Default"/>
        <w:rPr>
          <w:rFonts w:ascii="Calibri" w:hAnsi="Calibri" w:cs="Times New Roman"/>
          <w:color w:val="auto"/>
          <w:sz w:val="22"/>
          <w:szCs w:val="22"/>
        </w:rPr>
      </w:pPr>
    </w:p>
    <w:p w:rsidR="008A48FF" w:rsidRPr="00014415" w:rsidRDefault="008A48FF" w:rsidP="004F3F46">
      <w:pPr>
        <w:pStyle w:val="Default"/>
        <w:rPr>
          <w:rFonts w:ascii="Calibri" w:hAnsi="Calibri" w:cs="Times New Roman"/>
          <w:color w:val="auto"/>
          <w:sz w:val="22"/>
          <w:szCs w:val="22"/>
        </w:rPr>
      </w:pPr>
      <w:r w:rsidRPr="00014415">
        <w:rPr>
          <w:rFonts w:ascii="Calibri" w:hAnsi="Calibri" w:cs="Times New Roman"/>
          <w:color w:val="auto"/>
          <w:sz w:val="22"/>
          <w:szCs w:val="22"/>
        </w:rPr>
        <w:t>Land van de Hilver stelt voor, op basis van het onderzoek, de volgende definitie voor de plattelandsonderneming in het bestemmingsplan buitengebied op te nemen :</w:t>
      </w:r>
    </w:p>
    <w:p w:rsidR="008A48FF" w:rsidRPr="00014415" w:rsidRDefault="008A48FF" w:rsidP="004F3F46">
      <w:pPr>
        <w:pStyle w:val="Default"/>
        <w:rPr>
          <w:rFonts w:ascii="Calibri" w:hAnsi="Calibri" w:cs="Times New Roman"/>
          <w:color w:val="auto"/>
          <w:sz w:val="22"/>
          <w:szCs w:val="22"/>
        </w:rPr>
      </w:pPr>
    </w:p>
    <w:p w:rsidR="008A48FF" w:rsidRPr="0073048B" w:rsidRDefault="008A48FF" w:rsidP="004F3F46">
      <w:pPr>
        <w:pStyle w:val="Default"/>
        <w:rPr>
          <w:rFonts w:ascii="Calibri" w:hAnsi="Calibri"/>
          <w:i/>
          <w:iCs/>
        </w:rPr>
      </w:pPr>
      <w:r w:rsidRPr="0073048B">
        <w:rPr>
          <w:rFonts w:ascii="Calibri" w:hAnsi="Calibri"/>
          <w:i/>
          <w:iCs/>
        </w:rPr>
        <w:t>Een bedrijf dat al dan niet gedeeltelijk als agrarisch bedrijf, producten of diensten aanbiedt die bijdragen aan de instandhouding en beleving van gronden of gebouwen en daarmee in ieder geval aan de gebiedskwaliteit, waarmee deze producten en diensten verduurzamend ruimtelijk of functioneel verbonden zijn.</w:t>
      </w:r>
    </w:p>
    <w:p w:rsidR="008A48FF" w:rsidRPr="000A0B85" w:rsidRDefault="008A48FF" w:rsidP="004F3F46">
      <w:pPr>
        <w:pStyle w:val="Default"/>
        <w:rPr>
          <w:rFonts w:ascii="Calibri" w:hAnsi="Calibri"/>
          <w:i/>
          <w:iCs/>
          <w:sz w:val="22"/>
          <w:szCs w:val="22"/>
        </w:rPr>
      </w:pPr>
    </w:p>
    <w:p w:rsidR="008A48FF" w:rsidRDefault="008A48FF" w:rsidP="00F957DF">
      <w:pPr>
        <w:pStyle w:val="Tekstzonderopmaak"/>
      </w:pPr>
      <w:r w:rsidRPr="000A0B85">
        <w:rPr>
          <w:iCs/>
          <w:szCs w:val="22"/>
        </w:rPr>
        <w:t xml:space="preserve">De gemeente Hilvarenbeek heeft deze definitie omarmd en </w:t>
      </w:r>
      <w:r>
        <w:rPr>
          <w:iCs/>
          <w:szCs w:val="22"/>
        </w:rPr>
        <w:t>is voornemens</w:t>
      </w:r>
      <w:r w:rsidRPr="000A0B85">
        <w:rPr>
          <w:iCs/>
          <w:szCs w:val="22"/>
        </w:rPr>
        <w:t xml:space="preserve"> met </w:t>
      </w:r>
      <w:r>
        <w:rPr>
          <w:iCs/>
          <w:szCs w:val="22"/>
        </w:rPr>
        <w:t xml:space="preserve">unanieme </w:t>
      </w:r>
      <w:r w:rsidRPr="000A0B85">
        <w:rPr>
          <w:iCs/>
          <w:szCs w:val="22"/>
        </w:rPr>
        <w:t xml:space="preserve">steun van de </w:t>
      </w:r>
      <w:r>
        <w:rPr>
          <w:iCs/>
          <w:szCs w:val="22"/>
        </w:rPr>
        <w:t xml:space="preserve">lokale </w:t>
      </w:r>
      <w:r w:rsidRPr="000A0B85">
        <w:rPr>
          <w:iCs/>
          <w:szCs w:val="22"/>
        </w:rPr>
        <w:t>klankbo</w:t>
      </w:r>
      <w:r>
        <w:rPr>
          <w:iCs/>
          <w:szCs w:val="22"/>
        </w:rPr>
        <w:t xml:space="preserve">rdgroep </w:t>
      </w:r>
      <w:r w:rsidRPr="000A0B85">
        <w:rPr>
          <w:iCs/>
          <w:szCs w:val="22"/>
        </w:rPr>
        <w:t xml:space="preserve">deze op </w:t>
      </w:r>
      <w:r>
        <w:rPr>
          <w:iCs/>
          <w:szCs w:val="22"/>
        </w:rPr>
        <w:t xml:space="preserve">te nemen </w:t>
      </w:r>
      <w:r w:rsidRPr="000A0B85">
        <w:rPr>
          <w:iCs/>
          <w:szCs w:val="22"/>
        </w:rPr>
        <w:t>in haa</w:t>
      </w:r>
      <w:r>
        <w:rPr>
          <w:iCs/>
          <w:szCs w:val="22"/>
        </w:rPr>
        <w:t>r Bestemmingsplan Buitengebied, voorzover bekend</w:t>
      </w:r>
      <w:r w:rsidRPr="000A0B85">
        <w:rPr>
          <w:iCs/>
          <w:szCs w:val="22"/>
        </w:rPr>
        <w:t xml:space="preserve"> als eerste</w:t>
      </w:r>
      <w:r>
        <w:rPr>
          <w:iCs/>
          <w:szCs w:val="22"/>
        </w:rPr>
        <w:t xml:space="preserve"> gemeente</w:t>
      </w:r>
      <w:r w:rsidRPr="000A0B85">
        <w:rPr>
          <w:iCs/>
          <w:szCs w:val="22"/>
        </w:rPr>
        <w:t xml:space="preserve"> in Nederland</w:t>
      </w:r>
      <w:r>
        <w:rPr>
          <w:iCs/>
          <w:szCs w:val="22"/>
        </w:rPr>
        <w:t>.</w:t>
      </w:r>
      <w:r w:rsidRPr="00F957DF">
        <w:t xml:space="preserve"> </w:t>
      </w:r>
    </w:p>
    <w:p w:rsidR="008A48FF" w:rsidRDefault="008A48FF" w:rsidP="004F3F46">
      <w:pPr>
        <w:pStyle w:val="Default"/>
        <w:rPr>
          <w:rFonts w:ascii="Calibri" w:hAnsi="Calibri"/>
          <w:iCs/>
          <w:sz w:val="22"/>
          <w:szCs w:val="22"/>
        </w:rPr>
      </w:pPr>
    </w:p>
    <w:p w:rsidR="008A48FF" w:rsidRPr="00014415" w:rsidRDefault="008A48FF" w:rsidP="004F3F46">
      <w:pPr>
        <w:pStyle w:val="Default"/>
        <w:rPr>
          <w:rFonts w:ascii="Calibri" w:hAnsi="Calibri" w:cs="Times New Roman"/>
          <w:i/>
          <w:color w:val="auto"/>
          <w:sz w:val="22"/>
          <w:szCs w:val="22"/>
        </w:rPr>
      </w:pPr>
    </w:p>
    <w:p w:rsidR="008A48FF" w:rsidRPr="00014415" w:rsidRDefault="008A48FF" w:rsidP="004F3F46">
      <w:pPr>
        <w:pStyle w:val="Default"/>
        <w:rPr>
          <w:rFonts w:ascii="Calibri" w:hAnsi="Calibri" w:cs="Times New Roman"/>
          <w:i/>
          <w:color w:val="auto"/>
          <w:sz w:val="22"/>
          <w:szCs w:val="22"/>
        </w:rPr>
      </w:pPr>
      <w:r w:rsidRPr="00014415">
        <w:rPr>
          <w:rFonts w:ascii="Calibri" w:hAnsi="Calibri" w:cs="Times New Roman"/>
          <w:i/>
          <w:color w:val="auto"/>
          <w:sz w:val="22"/>
          <w:szCs w:val="22"/>
        </w:rPr>
        <w:t>Cultuuromslag</w:t>
      </w:r>
    </w:p>
    <w:p w:rsidR="008A48FF" w:rsidRDefault="008A48FF" w:rsidP="00F957DF">
      <w:pPr>
        <w:pStyle w:val="Tekstzonderopmaak"/>
      </w:pPr>
      <w:r w:rsidRPr="000A0B85">
        <w:rPr>
          <w:szCs w:val="22"/>
        </w:rPr>
        <w:t xml:space="preserve">Een nieuwe categorie in het bestemmingsplan alleen is niet voldoende. Het onderzoek leert ook dat ondanks bestuurlijke en ambtelijke impulsen voor ontwikkelingsgericht werken, en zelfs na een ondubbelzinnige bestuurlijke standpuntbepaling, ontwikkelingsgerichte uitvoering  lang niet altijd vanzelfsprekend is. </w:t>
      </w:r>
    </w:p>
    <w:p w:rsidR="008A48FF" w:rsidRPr="000A0B85" w:rsidRDefault="008A48FF" w:rsidP="004F3F46">
      <w:pPr>
        <w:pStyle w:val="Default"/>
        <w:rPr>
          <w:rFonts w:ascii="Calibri" w:hAnsi="Calibri"/>
          <w:sz w:val="22"/>
          <w:szCs w:val="22"/>
        </w:rPr>
      </w:pPr>
      <w:r w:rsidRPr="000A0B85">
        <w:rPr>
          <w:rFonts w:ascii="Calibri" w:hAnsi="Calibri"/>
          <w:sz w:val="22"/>
          <w:szCs w:val="22"/>
        </w:rPr>
        <w:t xml:space="preserve">Oorzaken liggen in het instrumentarium, maar </w:t>
      </w:r>
      <w:r>
        <w:rPr>
          <w:rFonts w:ascii="Calibri" w:hAnsi="Calibri"/>
          <w:sz w:val="22"/>
          <w:szCs w:val="22"/>
        </w:rPr>
        <w:t xml:space="preserve">juist </w:t>
      </w:r>
      <w:r w:rsidRPr="000A0B85">
        <w:rPr>
          <w:rFonts w:ascii="Calibri" w:hAnsi="Calibri"/>
          <w:sz w:val="22"/>
          <w:szCs w:val="22"/>
        </w:rPr>
        <w:t xml:space="preserve">ook in communicatie tussen ondernemer en gemeente, tussen </w:t>
      </w:r>
      <w:r>
        <w:rPr>
          <w:rFonts w:ascii="Calibri" w:hAnsi="Calibri"/>
          <w:sz w:val="22"/>
          <w:szCs w:val="22"/>
        </w:rPr>
        <w:t xml:space="preserve">bestuurders en </w:t>
      </w:r>
      <w:r w:rsidRPr="000A0B85">
        <w:rPr>
          <w:rFonts w:ascii="Calibri" w:hAnsi="Calibri"/>
          <w:sz w:val="22"/>
          <w:szCs w:val="22"/>
        </w:rPr>
        <w:t xml:space="preserve">ambtenaren onderling en in de </w:t>
      </w:r>
      <w:r>
        <w:rPr>
          <w:rFonts w:ascii="Calibri" w:hAnsi="Calibri"/>
          <w:sz w:val="22"/>
          <w:szCs w:val="22"/>
        </w:rPr>
        <w:t xml:space="preserve">angst </w:t>
      </w:r>
      <w:r w:rsidRPr="000A0B85">
        <w:rPr>
          <w:rFonts w:ascii="Calibri" w:hAnsi="Calibri"/>
          <w:sz w:val="22"/>
          <w:szCs w:val="22"/>
        </w:rPr>
        <w:t xml:space="preserve">als het gaat om het maken van fouten. Aanbevolen wordt te werken aan </w:t>
      </w:r>
      <w:r w:rsidRPr="000A0B85">
        <w:rPr>
          <w:rFonts w:ascii="Calibri" w:hAnsi="Calibri"/>
          <w:i/>
          <w:iCs/>
          <w:sz w:val="22"/>
          <w:szCs w:val="22"/>
        </w:rPr>
        <w:t xml:space="preserve">inhoudelijke </w:t>
      </w:r>
      <w:r w:rsidRPr="000A0B85">
        <w:rPr>
          <w:rFonts w:ascii="Calibri" w:hAnsi="Calibri"/>
          <w:sz w:val="22"/>
          <w:szCs w:val="22"/>
        </w:rPr>
        <w:t xml:space="preserve">voorlichting en </w:t>
      </w:r>
      <w:r w:rsidRPr="000A0B85">
        <w:rPr>
          <w:rFonts w:ascii="Calibri" w:hAnsi="Calibri"/>
          <w:i/>
          <w:iCs/>
          <w:sz w:val="22"/>
          <w:szCs w:val="22"/>
        </w:rPr>
        <w:t xml:space="preserve">inhoudelijke </w:t>
      </w:r>
      <w:r w:rsidRPr="000A0B85">
        <w:rPr>
          <w:rFonts w:ascii="Calibri" w:hAnsi="Calibri"/>
          <w:sz w:val="22"/>
          <w:szCs w:val="22"/>
        </w:rPr>
        <w:t xml:space="preserve">cultuurimpulsen. In overleg met de provincie Noord-Brabant wordt gekeken hoe in de benodigde capaciteit (kwalitatief en kwantitatief) versterkt kan worden.  </w:t>
      </w:r>
    </w:p>
    <w:p w:rsidR="008A48FF" w:rsidRDefault="008A48FF" w:rsidP="004F3F46">
      <w:pPr>
        <w:pStyle w:val="Default"/>
        <w:rPr>
          <w:sz w:val="20"/>
          <w:szCs w:val="20"/>
        </w:rPr>
      </w:pPr>
    </w:p>
    <w:p w:rsidR="008A48FF" w:rsidRPr="003C7590" w:rsidRDefault="008A48FF" w:rsidP="003C7590"/>
    <w:sectPr w:rsidR="008A48FF" w:rsidRPr="003C7590" w:rsidSect="003262A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48FF" w:rsidRDefault="008A48FF" w:rsidP="001F1A2C">
      <w:pPr>
        <w:spacing w:after="0" w:line="240" w:lineRule="auto"/>
      </w:pPr>
      <w:r>
        <w:separator/>
      </w:r>
    </w:p>
  </w:endnote>
  <w:endnote w:type="continuationSeparator" w:id="0">
    <w:p w:rsidR="008A48FF" w:rsidRDefault="008A48FF" w:rsidP="001F1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48FF" w:rsidRDefault="008A48FF" w:rsidP="001F1A2C">
      <w:pPr>
        <w:spacing w:after="0" w:line="240" w:lineRule="auto"/>
      </w:pPr>
      <w:r>
        <w:separator/>
      </w:r>
    </w:p>
  </w:footnote>
  <w:footnote w:type="continuationSeparator" w:id="0">
    <w:p w:rsidR="008A48FF" w:rsidRDefault="008A48FF" w:rsidP="001F1A2C">
      <w:pPr>
        <w:spacing w:after="0" w:line="240" w:lineRule="auto"/>
      </w:pPr>
      <w:r>
        <w:continuationSeparator/>
      </w:r>
    </w:p>
  </w:footnote>
  <w:footnote w:id="1">
    <w:p w:rsidR="008A48FF" w:rsidRDefault="008A48FF">
      <w:pPr>
        <w:pStyle w:val="Voetnoottekst"/>
      </w:pPr>
      <w:r>
        <w:rPr>
          <w:rStyle w:val="Voetnootmarkering"/>
        </w:rPr>
        <w:footnoteRef/>
      </w:r>
      <w:r>
        <w:t xml:space="preserve"> Land van de Hilver is een ondernemersvereniging met een 100-tal leden die waarde creëren met beleving in het gebied de Hilver (Hilvarenbeek en Moergestel).</w:t>
      </w:r>
    </w:p>
  </w:footnote>
  <w:footnote w:id="2">
    <w:p w:rsidR="008A48FF" w:rsidRDefault="008A48FF" w:rsidP="0065523D">
      <w:pPr>
        <w:pStyle w:val="Voetnoottekst"/>
      </w:pPr>
      <w:r>
        <w:rPr>
          <w:rStyle w:val="Voetnootmarkering"/>
        </w:rPr>
        <w:footnoteRef/>
      </w:r>
      <w:r>
        <w:t xml:space="preserve"> Het onderzoek heeft plaatsgevonden onder auspiciën van Land van de Hilver (M.van Dijk, J.Roozen en W.van Meel) en is mede mogelijk gemaakt door (financiële) bijdragen van Rabo Hart van Brabant, Dienst Landelijk gebied, Tasc Force Multifunctionele Landbouw, Provincie Noord-Brabant en Innovatienetwerk Groene Ruimte.</w:t>
      </w:r>
    </w:p>
    <w:p w:rsidR="008A48FF" w:rsidRDefault="008A48FF">
      <w:pPr>
        <w:pStyle w:val="Voetnoottekst"/>
      </w:pPr>
      <w:r>
        <w:t>De projectgroep bestond uit: J.Schellekens (Rentmeesterkantoor Schellekens), H. Wieringa (Land &amp; Co), F. d’Haens (gemeente Hilvarenbeek), M.van Bavel (Streekplatform De Brabantse Kempen)</w:t>
      </w:r>
      <w:r w:rsidRPr="0065523D">
        <w:t xml:space="preserve"> </w:t>
      </w:r>
      <w:r>
        <w:t xml:space="preserve">en R. Groenendijk (Hilveradvies, projectleider). </w:t>
      </w:r>
    </w:p>
    <w:p w:rsidR="008A48FF" w:rsidRDefault="008A48FF">
      <w:pPr>
        <w:pStyle w:val="Voetnoottekst"/>
      </w:pPr>
      <w:r>
        <w:t>Voor het volledige rapport zie :</w:t>
      </w:r>
      <w:r w:rsidRPr="009318C7">
        <w:t xml:space="preserve"> </w:t>
      </w:r>
      <w:hyperlink r:id="rId1" w:history="1">
        <w:r>
          <w:rPr>
            <w:rStyle w:val="Hyperlink"/>
          </w:rPr>
          <w:t>http://www.landvandehilver.nl/vervolg.php?id=293</w:t>
        </w:r>
      </w:hyperlink>
    </w:p>
    <w:p w:rsidR="008A48FF" w:rsidRDefault="008A48FF">
      <w:pPr>
        <w:pStyle w:val="Voetnootteks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7C5C4B"/>
    <w:multiLevelType w:val="hybridMultilevel"/>
    <w:tmpl w:val="CC2C2D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CE76197"/>
    <w:multiLevelType w:val="hybridMultilevel"/>
    <w:tmpl w:val="526A1D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4D296F54"/>
    <w:multiLevelType w:val="hybridMultilevel"/>
    <w:tmpl w:val="6F4C30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79BF635D"/>
    <w:multiLevelType w:val="hybridMultilevel"/>
    <w:tmpl w:val="7BF4A24A"/>
    <w:lvl w:ilvl="0" w:tplc="06B0CA4C">
      <w:numFmt w:val="bullet"/>
      <w:lvlText w:val=""/>
      <w:lvlJc w:val="left"/>
      <w:pPr>
        <w:ind w:left="72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157B"/>
    <w:rsid w:val="00014415"/>
    <w:rsid w:val="00072056"/>
    <w:rsid w:val="000A0B85"/>
    <w:rsid w:val="000C4645"/>
    <w:rsid w:val="000E0045"/>
    <w:rsid w:val="001002B2"/>
    <w:rsid w:val="001F1A2C"/>
    <w:rsid w:val="0023521E"/>
    <w:rsid w:val="00247A33"/>
    <w:rsid w:val="00263903"/>
    <w:rsid w:val="002817AA"/>
    <w:rsid w:val="00295288"/>
    <w:rsid w:val="002A5E6E"/>
    <w:rsid w:val="003262AF"/>
    <w:rsid w:val="00343189"/>
    <w:rsid w:val="003C7590"/>
    <w:rsid w:val="003D3622"/>
    <w:rsid w:val="0048312E"/>
    <w:rsid w:val="004A7651"/>
    <w:rsid w:val="004F3F46"/>
    <w:rsid w:val="005C39D1"/>
    <w:rsid w:val="005D145C"/>
    <w:rsid w:val="00633A9A"/>
    <w:rsid w:val="0065523D"/>
    <w:rsid w:val="006C03A6"/>
    <w:rsid w:val="006C388C"/>
    <w:rsid w:val="006F089E"/>
    <w:rsid w:val="00705AD1"/>
    <w:rsid w:val="0073048B"/>
    <w:rsid w:val="0085586D"/>
    <w:rsid w:val="008A48FF"/>
    <w:rsid w:val="009163AB"/>
    <w:rsid w:val="00920410"/>
    <w:rsid w:val="009318C7"/>
    <w:rsid w:val="00947582"/>
    <w:rsid w:val="009E2211"/>
    <w:rsid w:val="00A65403"/>
    <w:rsid w:val="00B9347E"/>
    <w:rsid w:val="00BB157B"/>
    <w:rsid w:val="00BD6F2C"/>
    <w:rsid w:val="00DE6DDC"/>
    <w:rsid w:val="00E36F5B"/>
    <w:rsid w:val="00E77529"/>
    <w:rsid w:val="00E94DE5"/>
    <w:rsid w:val="00EC04FA"/>
    <w:rsid w:val="00F90F0B"/>
    <w:rsid w:val="00F957DF"/>
    <w:rsid w:val="00FA18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52A3FDDA-AD6F-47D5-88FD-88D07C25A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after="200" w:line="276" w:lineRule="auto"/>
    </w:pPr>
    <w:rPr>
      <w:lang w:eastAsia="en-US"/>
    </w:rPr>
  </w:style>
  <w:style w:type="character" w:default="1" w:styleId="Standaardalinea-lettertype">
    <w:name w:val="Default Paragraph Font"/>
    <w:uiPriority w:val="99"/>
    <w:semiHidden/>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uiPriority w:val="99"/>
    <w:rsid w:val="00BB157B"/>
    <w:pPr>
      <w:autoSpaceDE w:val="0"/>
      <w:autoSpaceDN w:val="0"/>
      <w:adjustRightInd w:val="0"/>
      <w:spacing w:after="0" w:line="240" w:lineRule="auto"/>
    </w:pPr>
    <w:rPr>
      <w:rFonts w:ascii="Lucida Sans" w:hAnsi="Lucida Sans" w:cs="Lucida Sans"/>
      <w:color w:val="000000"/>
      <w:sz w:val="24"/>
      <w:szCs w:val="24"/>
      <w:lang w:eastAsia="en-US"/>
    </w:rPr>
  </w:style>
  <w:style w:type="paragraph" w:styleId="Lijstalinea">
    <w:name w:val="List Paragraph"/>
    <w:basedOn w:val="Standaard"/>
    <w:uiPriority w:val="99"/>
    <w:qFormat/>
    <w:rsid w:val="006C03A6"/>
    <w:pPr>
      <w:ind w:left="720"/>
      <w:contextualSpacing/>
    </w:pPr>
  </w:style>
  <w:style w:type="paragraph" w:styleId="Ballontekst">
    <w:name w:val="Balloon Text"/>
    <w:basedOn w:val="Standaard"/>
    <w:link w:val="BallontekstChar"/>
    <w:uiPriority w:val="99"/>
    <w:semiHidden/>
    <w:rsid w:val="00EC04F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EC04FA"/>
    <w:rPr>
      <w:rFonts w:ascii="Tahoma" w:hAnsi="Tahoma"/>
      <w:sz w:val="16"/>
    </w:rPr>
  </w:style>
  <w:style w:type="paragraph" w:styleId="Voetnoottekst">
    <w:name w:val="footnote text"/>
    <w:basedOn w:val="Standaard"/>
    <w:link w:val="VoetnoottekstChar"/>
    <w:uiPriority w:val="99"/>
    <w:semiHidden/>
    <w:rsid w:val="001F1A2C"/>
    <w:pPr>
      <w:spacing w:after="0" w:line="240" w:lineRule="auto"/>
    </w:pPr>
    <w:rPr>
      <w:sz w:val="20"/>
      <w:szCs w:val="20"/>
    </w:rPr>
  </w:style>
  <w:style w:type="character" w:customStyle="1" w:styleId="VoetnoottekstChar">
    <w:name w:val="Voetnoottekst Char"/>
    <w:basedOn w:val="Standaardalinea-lettertype"/>
    <w:link w:val="Voetnoottekst"/>
    <w:uiPriority w:val="99"/>
    <w:semiHidden/>
    <w:locked/>
    <w:rsid w:val="001F1A2C"/>
    <w:rPr>
      <w:sz w:val="20"/>
    </w:rPr>
  </w:style>
  <w:style w:type="character" w:styleId="Voetnootmarkering">
    <w:name w:val="footnote reference"/>
    <w:basedOn w:val="Standaardalinea-lettertype"/>
    <w:uiPriority w:val="99"/>
    <w:semiHidden/>
    <w:rsid w:val="001F1A2C"/>
    <w:rPr>
      <w:rFonts w:cs="Times New Roman"/>
      <w:vertAlign w:val="superscript"/>
    </w:rPr>
  </w:style>
  <w:style w:type="paragraph" w:styleId="Tekstzonderopmaak">
    <w:name w:val="Plain Text"/>
    <w:basedOn w:val="Standaard"/>
    <w:link w:val="TekstzonderopmaakChar"/>
    <w:uiPriority w:val="99"/>
    <w:semiHidden/>
    <w:rsid w:val="00F957DF"/>
    <w:pPr>
      <w:spacing w:after="0" w:line="240" w:lineRule="auto"/>
    </w:pPr>
    <w:rPr>
      <w:rFonts w:cs="Consolas"/>
      <w:szCs w:val="21"/>
    </w:rPr>
  </w:style>
  <w:style w:type="character" w:customStyle="1" w:styleId="TekstzonderopmaakChar">
    <w:name w:val="Tekst zonder opmaak Char"/>
    <w:basedOn w:val="Standaardalinea-lettertype"/>
    <w:link w:val="Tekstzonderopmaak"/>
    <w:uiPriority w:val="99"/>
    <w:semiHidden/>
    <w:locked/>
    <w:rsid w:val="00F957DF"/>
    <w:rPr>
      <w:rFonts w:ascii="Calibri" w:hAnsi="Calibri"/>
      <w:sz w:val="21"/>
    </w:rPr>
  </w:style>
  <w:style w:type="character" w:styleId="Hyperlink">
    <w:name w:val="Hyperlink"/>
    <w:basedOn w:val="Standaardalinea-lettertype"/>
    <w:uiPriority w:val="99"/>
    <w:semiHidden/>
    <w:locked/>
    <w:rsid w:val="009318C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7912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landvandehilver.nl/vervolg.php?id=2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1843</Words>
  <Characters>10141</Characters>
  <Application>Microsoft Office Word</Application>
  <DocSecurity>0</DocSecurity>
  <Lines>84</Lines>
  <Paragraphs>23</Paragraphs>
  <ScaleCrop>false</ScaleCrop>
  <Company>Provincie Noord-Brabant</Company>
  <LinksUpToDate>false</LinksUpToDate>
  <CharactersWithSpaces>11961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Wiet</cp:lastModifiedBy>
  <cp:revision>2</cp:revision>
  <dcterms:created xsi:type="dcterms:W3CDTF">2013-12-11T14:56:00Z</dcterms:created>
  <dcterms:modified xsi:type="dcterms:W3CDTF">2013-12-11T14:56:00Z</dcterms:modified>
</cp:coreProperties>
</file>